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vertAlign w:val="baseline"/>
          <w:rtl w:val="0"/>
        </w:rPr>
        <w:t xml:space="preserve">Relatório de Monitoramento da Implementação e Cumprimento da Lei Estadual nº. 15.175/2012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vertAlign w:val="baseline"/>
          <w:rtl w:val="0"/>
        </w:rPr>
        <w:t xml:space="preserve">Período de 1º de Janeiro a 31 de dezembro de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93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EXPEDIENTE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Corpo Gestor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Fundação Cearense de Apoio ao Desenvolvimento Científico e Tecnológico (Funcap)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Tarcísio Pequeno - Presidente 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Luiz Drude de Lacerda - Diretor Científico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Jorge Barbosa Soares - Diretor de Inovação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Paula Lenz Costa Lima - Diretora Administrativo-Financeira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Marília Rêgo G. Matos - Procuradora Jurídica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 Carolina Albuquerque Rocha - Assessora de Desenvolvimento Institucional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Comitê Setorial de Acesso à Informação – CSAI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 Carolina Albuquerque Rocha - Assessora de Desenvolvimento Institucional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Denise Sá Maia Casselli - Assessora da presidência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Marília Rêgo Gonçalves Matos - Ouvidora Setorial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Sílvio Mauro M. Monteiro - Responsável pelo Serviço de Informação ao Cidadão - SIC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Lei Estadual de Acesso à Informação, Lei nº 15.175, sancionada em 28 de junho, de 2012, institui como princípio fundamental que o acesso à informação pública deve ser a regra e o sigilo aplicado somente como exceção. Sua sanção representa mais um importante passo para a consolidação do regime democrático e para o fortalecimento das políticas de transparência pública.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Essa legislação estadual vem complementar, no âmbito do Ceará, a Lei Geral de Acesso à Informação, Lei nº 12.527, sancionada em 18 de novembro de 2011 pela presidente da República Dilma Roussef. A lei federal regulamenta o direito constitucional de acesso dos cidadãos às informações públicas e é aplicável aos três poderes da União, dos estados, do Distrito Federal e dos municípios, com vigência depois de decorridos 180 (cento e oitenta) dias da sanção – dia 16 de maio de 2012.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garantir o exercício pleno do direito de acesso previsto na Constituição Federal, a Lei nº 15.175/2012 define os mecanismos, prazos e procedimentos para a entrega das informações solicitadas à administração pública pelos cidadãos. Além disso, determina que os órgãos e entidades públicas deverão divulgar um rol mínimo de informações proativamente por meio da internet.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Rule="auto"/>
        <w:contextualSpacing w:val="0"/>
        <w:jc w:val="both"/>
        <w:rPr>
          <w:rFonts w:ascii="Times New Roman" w:cs="Times New Roman" w:eastAsia="Times New Roman" w:hAnsi="Times New Roman"/>
          <w:color w:val="3333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Também foram criados, a partir da referida lei, os Comitês Setoriais de Acesso à Informação, com a finalidade de assegurar o acesso imediato à informação disponível e propor ao Comitê Gestor de Acesso à Informação a classificação de informações no seu âmbito de atuação. Os referidos Comitês Setoriais possuem as seguintes atribuições: I - assegurar o cumprimento das normas relativas ao acesso à informação, de forma eficiente e adequada aos objetivos desta lei; II - monitorar a implementação do disposto nesta lei e apresentar, ao Comitê Gestor, relatórios periódicos sobre o seu cumprimento; III - recomendar as medidas indispensáveis à implementação e ao aperfeiçoamento das normas e procedimentos necessários ao correto cumprimento do disposto nesta lei, e; IV - orientar as respectivas unidades no que se refere ao cumprimento do disposto nesta lei e seus regulamentos.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02 – Análise das solicitações de informações do período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partir da análise do relatório disponibilizado pelo Sistema de Ouvidoria – SOU – Módulo SIC, identificamos que, em relação a 2015, houve diminuição das demandas por telefone.  Das 26 solicitações de informações registradas, 23 foram realizadas através da internet. Entendemos que esse comportamento dos usuários reflete a tendência atual de concentração da comunicação através de meios virtuais.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2.1 – Quantidade de Solicitações de Informação por Meio de Entrada;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dissemos, as demandas por meios virtuais representaram aproximadamente 89% das solicitações recebidas.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433462" cy="2365154"/>
            <wp:effectExtent b="0" l="0" r="0" t="0"/>
            <wp:docPr descr="Meio de entrada.jpg" id="2" name="image10.jpg"/>
            <a:graphic>
              <a:graphicData uri="http://schemas.openxmlformats.org/drawingml/2006/picture">
                <pic:pic>
                  <pic:nvPicPr>
                    <pic:cNvPr descr="Meio de entrada.jpg" id="0" name="image10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3462" cy="23651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2.2 – Quantidade de Solicitações de Informação por Classificação (Transparência Ativa, Transparência Passiva, Informação Pessoal, Indeferida e Não Atendida);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odas as 26 solicitações de informações do ano de 2016 foram deferidas, atendidas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classificadas da seguinte forma: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874649" cy="2183277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4649" cy="21832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 ressaltar que a Funcap tem procurado disponibilizar o máximo possível de informações em sua página para que o público possa obtê-las de forma simples e acessível, tornando o processo mais ágil. 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201046" cy="2552446"/>
            <wp:effectExtent b="0" l="0" r="0" t="0"/>
            <wp:docPr descr="Deferidos.jpg" id="1" name="image9.jpg"/>
            <a:graphic>
              <a:graphicData uri="http://schemas.openxmlformats.org/drawingml/2006/picture">
                <pic:pic>
                  <pic:nvPicPr>
                    <pic:cNvPr descr="Deferidos.jpg" id="0" name="image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1046" cy="25524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2.3 – Assuntos mais demandados apresentando análise e considerações/providências;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relação ao exercício anterior, identificamos significativa diminuição dos pedidos de informações sobre pagamentos de bolsas. Entendemos a mudança como reflexo do processo de reestruturação financeira da Funcap, que regularizou os pagamentos e os efetuou segundo o cronograma previsto. Outra explicação para a mudança foi a grande quantidade de editais lançados em 2016. Pedidos de informações sobre editais e bolsas foram os principais temas das solicitações, representando cerca de 77% das demandas.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186966" cy="2711171"/>
            <wp:effectExtent b="0" l="0" r="0" t="0"/>
            <wp:docPr descr="assuntos.jpg" id="7" name="image15.jpg"/>
            <a:graphic>
              <a:graphicData uri="http://schemas.openxmlformats.org/drawingml/2006/picture">
                <pic:pic>
                  <pic:nvPicPr>
                    <pic:cNvPr descr="assuntos.jpg" id="0" name="image1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6966" cy="27111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2.4 – Quantidade de Solicitações de Informação por Município;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Identificamos que a maior parte das solicitações de informações é da cidade de Fortaleza, como se pode ver através do gráfico a seguir: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712973" cy="2281237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2973" cy="22812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2.5 – Situação das Solicitações de Informação;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partir da análise do relatório disponibilizado pelo Sistema de Ouvidoria – SOU – Módulo SIC, identificamos que todas as 26 solicitações de informações foram devidamente finalizadas.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2.6 – Quantidades de Solicitações de Informação que geraram custo;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partir da análise do relatório disponibilizado pelo Sistema de Ouvidoria – SOU – Módulo SIC, identificamos que nenhuma das solicitações de informações referentes ao ano de 2016 gerou custo.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2.7 – Resolutividade.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partir da análise do relatório disponibilizado pelo Sistema de Ouvidoria – SOU – Módulo SIC, identificamos que todas as solicitações de informações do ano de 2016 foram respondidas dentro do prazo de 20 dias.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03 – Dificuldades para implementação da Lei Estadual nº. 15.175 de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Comitê Setorial de Acesso à Informação da Fundação Cearense de Apoio ao Desenvolvimento Científico e Tecnológico desenvolve suas atividades na mesma sala em que são desenvolvidas as atividades da Ouvidoria da Funcap, onde dispõe de computadores e telefones para atendimento aos cidadãos, caso necessário.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Ressaltamos que não foi encontrada nenhuma dificuldade para que fossem cumpridas as determinações da Lei de Acesso à Informação.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04 – Benefícios percebidos pela implementação da Lei Estadual nº. 15.175 de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partir da Lei Estadual nº 15.175/2012 e da implantação do Sistema de Ouvidoria SOU - Módulo SIC, foi percebida melhor organização dos procedimentos para atendimento às solicitações de informações e cumprimento do direito ao acesso à informação pelo cidadão(ã).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05 – Ações empreendidas pelo Órgão ou Entidade com vistas a melhorar o perfil ou nível da transparência ativa, em virtude das informações solicitadas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Funcap usa como principais instrumentos de divulgação de informações sua página oficial da internet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http://www.funcap.ce.gov.br/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e as redes sociais Facebook, Instagram e Twitter. A página no Instagram foi criada no segundo semestre de 2016. Todos os editais, eventos que têm participação do órgão e informações úteis para pesquisadores ou possíveis interessados em submeter projetos são divulgados nesses canais.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caso específico da página oficial da Funcap, estão sendo feitas alterações no layout para deixar as informações ainda mais acessíveis. Mudanças já foram efetuadas no menu horizontal e nas duas colunas laterais. O processo, que ainda se encontra em andamento, está levando em conta, principalmente, a hierarquização das informações, para que as mais relevantes tenham destaque visual.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iniciativas inovadoras que contam com o apoio da Funcap têm tido especial atenção e são retratadas em vídeos, imagens e textos jornalísticos. Além da divulgação da ciência e da inovação no Ceará, esse esforço tem como meta fazer uma prestação de contas, para a sociedade, de como os recursos da fundação são aplicados para melhorar a vida da população.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fim,  o Comitê Setorial de Acesso à Informação, em diálogo constante com outros setores da Funcap, procura conscientizar todos sobre a importância de oferecermos, de forma rápida e com qualidade, as informações solicitadas pelos cidadãos.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06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Classificações de documentos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acordo com o Comitê Gestor de Acesso à Informação (CGAI), os documentos classificados com grau de sigilo da Funcap são os seguintes: Projetos desenvolvidos com recursos repassados pela Funcap, seja através da modalidade subvenção econômica ou diretamente aos pesquisadores científicos. O prazo de confidencialidade é de 15 anos ou nos termos acordados entre a Funcap e o pesquisador.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determinação das informações secretas por parte do CGAI foi feita na 12ª reunião do órgão, em 23 de março de 2016, e teve como base o artigo 22º, inciso VI, da lei nº. 15.175/2012.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07 – Considerações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Através de relatórios disponibilizados pelo Sistema de Ouvidoria – SOU – Módulo SIC, concluímos que 26 solicitações de manifestações foram apresentadas e todas foram devidamente respondidas e finalizadas no prazo regular de 20 dias. Ressaltamos que nenhuma das manifestações gerou qualquer custo e a maioria versava sobre pedidos de informações sobre editais de projetos e bolsas - resultado bastante diverso das demandas de 2015, que tiveram no pagamento dos bolsistas a principal fonte de dúvidas.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Fortaleza,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Comitê Setorial de Acesso à Informação – CSAI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 Carolina Albuquerque Freitas da Rocha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Assessora de Desenvolvimento Institucional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Denise Sá Maia Casselli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Assessora da Presidência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Marília Rêgo Gonçalves Matos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Ouvidora Setorial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Sílvio Mauro M. Monteiro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Responsável pelo Serviço de Informação ao Cidadão – SIC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/>
      <w:pgMar w:bottom="1417" w:top="2410" w:left="1701" w:right="127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contextualSpacing w:val="0"/>
      <w:jc w:val="right"/>
      <w:rPr>
        <w:rFonts w:ascii="Arial" w:cs="Arial" w:eastAsia="Arial" w:hAnsi="Arial"/>
        <w:b w:val="0"/>
        <w:color w:val="000000"/>
        <w:sz w:val="26"/>
        <w:szCs w:val="26"/>
        <w:vertAlign w:val="baseline"/>
      </w:rPr>
    </w:pPr>
    <w:r w:rsidDel="00000000" w:rsidR="00000000" w:rsidRPr="00000000">
      <w:rPr>
        <w:rFonts w:ascii="Arial" w:cs="Arial" w:eastAsia="Arial" w:hAnsi="Arial"/>
        <w:b w:val="0"/>
        <w:color w:val="000000"/>
        <w:sz w:val="26"/>
        <w:szCs w:val="2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right="360"/>
      <w:contextualSpacing w:val="0"/>
      <w:rPr>
        <w:rFonts w:ascii="Arial" w:cs="Arial" w:eastAsia="Arial" w:hAnsi="Arial"/>
        <w:b w:val="0"/>
        <w:color w:val="000000"/>
        <w:sz w:val="26"/>
        <w:szCs w:val="26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20" w:line="240" w:lineRule="auto"/>
      <w:contextualSpacing w:val="0"/>
      <w:rPr>
        <w:rFonts w:ascii="Arial" w:cs="Arial" w:eastAsia="Arial" w:hAnsi="Arial"/>
        <w:b w:val="1"/>
        <w:color w:val="000000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b w:val="0"/>
        <w:color w:val="000000"/>
        <w:sz w:val="26"/>
        <w:szCs w:val="26"/>
        <w:vertAlign w:val="baseline"/>
      </w:rPr>
      <w:drawing>
        <wp:inline distB="0" distT="0" distL="114300" distR="114300">
          <wp:extent cx="2588895" cy="738505"/>
          <wp:effectExtent b="0" l="0" r="0" t="0"/>
          <wp:docPr id="5" name="image13.jpg"/>
          <a:graphic>
            <a:graphicData uri="http://schemas.openxmlformats.org/drawingml/2006/picture">
              <pic:pic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8895" cy="7385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color w:val="000000"/>
        <w:sz w:val="26"/>
        <w:szCs w:val="26"/>
        <w:vertAlign w:val="baseline"/>
        <w:rtl w:val="0"/>
      </w:rPr>
      <w:t xml:space="preserve">                                     </w:t>
    </w: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vertAlign w:val="baseline"/>
      </w:rPr>
      <w:drawing>
        <wp:inline distB="0" distT="0" distL="114300" distR="114300">
          <wp:extent cx="1393825" cy="617855"/>
          <wp:effectExtent b="0" l="0" r="0" t="0"/>
          <wp:docPr id="6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3825" cy="617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4505325</wp:posOffset>
          </wp:positionH>
          <wp:positionV relativeFrom="paragraph">
            <wp:posOffset>276225</wp:posOffset>
          </wp:positionV>
          <wp:extent cx="1258570" cy="870585"/>
          <wp:effectExtent b="0" l="0" r="0" t="0"/>
          <wp:wrapSquare wrapText="bothSides" distB="0" distT="0" distL="0" distR="0"/>
          <wp:docPr id="8" name="image16.png"/>
          <a:graphic>
            <a:graphicData uri="http://schemas.openxmlformats.org/drawingml/2006/picture">
              <pic:pic>
                <pic:nvPicPr>
                  <pic:cNvPr id="0" name="image1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8570" cy="8705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contextualSpacing w:val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uncap.ce.gov.br/" TargetMode="External"/><Relationship Id="rId10" Type="http://schemas.openxmlformats.org/officeDocument/2006/relationships/image" Target="media/image1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jpg"/><Relationship Id="rId5" Type="http://schemas.openxmlformats.org/officeDocument/2006/relationships/styles" Target="styles.xml"/><Relationship Id="rId6" Type="http://schemas.openxmlformats.org/officeDocument/2006/relationships/image" Target="media/image10.jpg"/><Relationship Id="rId7" Type="http://schemas.openxmlformats.org/officeDocument/2006/relationships/image" Target="media/image12.png"/><Relationship Id="rId8" Type="http://schemas.openxmlformats.org/officeDocument/2006/relationships/image" Target="media/image9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jpg"/><Relationship Id="rId2" Type="http://schemas.openxmlformats.org/officeDocument/2006/relationships/image" Target="media/image14.png"/><Relationship Id="rId3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